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270</w:t>
      </w:r>
    </w:p>
    <w:p>
      <w:r>
        <w:t>Bundesgericht (BGE), 1968-03-01, FR</w:t>
      </w:r>
    </w:p>
    <w:p>
      <w:r>
        <w:rPr>
          <w:b/>
        </w:rPr>
        <w:t xml:space="preserve">Quelle: </w:t>
      </w:r>
      <w:r>
        <w:t>https://mcp.opencaselaw.ch/entscheid/bge_94 I 270</w:t>
      </w:r>
    </w:p>
    <w:p>
      <w:r>
        <w:t>FR: ATF 94 I 270</w:t>
      </w:r>
    </w:p>
    <w:p>
      <w:r>
        <w:t>IT: DTF 94 I 270</w:t>
      </w:r>
    </w:p>
    <w:p>
      <w:pPr>
        <w:pStyle w:val="Heading2"/>
      </w:pPr>
      <w:r>
        <w:t>Regeste</w:t>
      </w:r>
    </w:p>
    <w:p>
      <w:r>
        <w:t>Regeste Art. 12, 97 und 111 OG. 1. Ist die verwaltungsrechtliche Kammer zugleich mit einer verwaltungsrechtlichen Klage und einer staatsrechtlichen Beschwerde wegen Verletzung des Art. 4 BV befasst, so kann sie über die beiden Rechtsmittel in einem und demselben Urteil befinden (Erw. 1). Art. 6 BG vom 23. Juni 1944 über die SBB. . Der von einer Gemeindebehörde geforderte Beitrag an die Kosten der Abwasserreinigung ist nicht eine Steuer, sondern eine Vorzugslast, von welcher das Bundesrecht die SBB nicht befreit (Erw. 2-6). 3. Art der Berechnung des Beitrags an die Kosten der Abwasserreinigung (Erw. 5).</w:t>
      </w:r>
    </w:p>
    <w:p>
      <w:pPr>
        <w:pStyle w:val="Heading2"/>
      </w:pPr>
      <w:r>
        <w:t>Erwägungen</w:t>
      </w:r>
    </w:p>
    <w:p>
      <w:r>
        <w:rPr>
          <w:b/>
        </w:rPr>
        <w:t>E. 2</w:t>
      </w:r>
    </w:p>
    <w:p>
      <w:r>
        <w:t>Comme les parties l'admettent avec raison, l'art. 6 de la loi du 23 juin 1944 dispense les CFF du paiement des impôts proprement dits, non pas des charges de préférence (RO 74 I 224 ss.). Selon la jurisprudence, une redevance se caractérise comme une charge de préférence lorsqu'elle remplit trois conditions: tout d'abord, elle doit être prélevée, pour couvrir des dépenses relatives à des travaux d'intérêt public, auprès des personnes qui en tirent des avantages économiques spéciaux; ensuite, il faut que le montant réclamé soit en rapport avec les frais qu'il s'agit d'amortir; enfin, la charge doit être calculée en proportion du profit que les travaux procurent aux bénéficiaires (RO 74 I 224 s. ; 86 I 99 ; 90 I 81 , 93 ; 92 I 454 s. ; 93 I 113 ). Le Tribunal fédéral a déjà jugé qu'une contribution aux frais d'épuration des eaux répondait à ces conditions (RO 93 I 113 s.). Il a même reconnu la qualité de charge de préférence à la contribution temporaire prévue par l'art. 25 de la loi fribourgeoise du 10 mai 1963 sur les impôts communaux et paroissiaux, auquel se réfère le règlement du 25 février 1964 (arrêt non publié du 10 novembre 1965 dans la cause Association cantonale fribourgeoise des intérêts immobiliers, Macheret et consorts contre Fribourg, Commune et Conseil d'Etat, consid. 2). Cette jurisprudence doit être confirmée.</w:t>
      </w:r>
    </w:p>
    <w:p>
      <w:r>
        <w:rPr>
          <w:b/>
        </w:rPr>
        <w:t>E. 3</w:t>
      </w:r>
    </w:p>
    <w:p>
      <w:r>
        <w:t>Assurément, dans la mesure où elle compromet l'approvisionnement en eau potable, entraîne la destruction des poissons, entrave l'exercice des sports nautiques, contribue à détériorer les ouvrages aménagés sur les rives des lacs et des rivières, la pollution des eaux est préjudiciable à la collectivité tout entière. A ce point de vue, l'épuration des eaux est une ,,,oeuvre d'intérêt général et relève de la salubrité publique. Mais elle n'en procure pas moins, considérée sous un autre aspect, des avantages économiques spéciaux aux propriétaires immobiliers. Lorsqu'il est impossible d'évacuer les eaux qui s'y trouvent, qu'elles soient usées ou non, un immeuble ne peut guère servir qu'à des fins agricoles. Il ne se prête ni à la construction, ni à une affectation industrielle ou commerciale. Cela vaut aussi bien pour les immeubles des particuliers que pour ceux des administrations publiques, y compris les CFF. Tout propriétaire immobilier tire donc un avantage spécial du raccordement de son fonds aux canalisations publiques qui recueillent les BGE 94 I 270 S. 277 eaux. Sans cette faculté, il est limité dans l'exploitation de son bien ou contraint d'entreprendre à ses frais des installations d'égout. Or l'épuration des eaux est liée à leur évacuation. C'est parce que les eaux évacuées dans les canalisations publiques risquent de polluer les lacs et les rivières qu'elles doivent être épurées. Ainsi, l'art. 3 de la loi fédérale du 16 mars 1955 sur la protection des eaux invite l'autorité cantonale à prendre toutes mesures pour les préserver de la pollution qui résulte du déversement d'eaux usées ou d'autres résidus liquides ou gazeux. De même, l'art. 6 al. 1 de l'arrêté du Conseil d'Etat fribourgeois du 7 juillet 1959 oblige les communes, tout à la fois, à établir un règlement des canalisations, à élaborer un plan directeur d'égouts et à construire des installations d'épuration des eaux. L'art. 9 de la loi d'application fribourgeoise du 4 février 1964 énonce une règle analogue. Il s'ensuit qu'en droit fribourgeois comme en droit fédéral, l'évacuation et l'épuration des eaux sont des opérations inséparables. Dès lors, si les frais d'évacuation consentis par les collectivités publiques procurent un avantage économique spécial à chaque propriétaire immobilier, il en est de même de ceux d'épuration (RO 93 I 113).</w:t>
      </w:r>
    </w:p>
    <w:p>
      <w:r>
        <w:rPr>
          <w:b/>
        </w:rPr>
        <w:t>E. 4</w:t>
      </w:r>
    </w:p>
    <w:p>
      <w:r>
        <w:t>La contribution exigée des CFF est en rapport avec la dépense dont ils profitent d'une manière particulière. Selon le préambule du règlement du 25 février 1964, le produit de cette contribution est destiné exclusivement à couvrir les frais d'établissement de la station communale d'épuration, soit à rembourser le montant emprunté à cette fin et à en payer les intérêts. Non seulement l'art. 3 confirme cette affectation, mais il précise que la contribution sera perçue jusqu'au remboursement de l'emprunt et, au plus, pendant vingt ans.</w:t>
      </w:r>
    </w:p>
    <w:p>
      <w:r>
        <w:rPr>
          <w:b/>
        </w:rPr>
        <w:t>E. 5</w:t>
      </w:r>
    </w:p>
    <w:p>
      <w:r>
        <w:t>Les propriétaires immobiliers sont doublement intéressés à l'évacuation et à l'épuration des eaux par les soins des collectivités publiques. Grâce à ces mesures, ils peuvent utiliser leurs fonds sans restriction, d'une part, et ils n'ont pas la charge de construire leurs propres installations d'égout, d'autre part. Il faut donc examiner encore si la contribution réclamée aux CFF se détermine bien d'après le double avantage qu'ils retirent des travaux exécutés par la Ville de Fribourg. a) L'art. 5 du règlement du 25 février 1964 table sur la valeur des fonds, soit sur la valeur d'assurance des bâtiments, la taxe cadastrale des fonds non bâtis et la superficie des fonds du BGE 94 I 270 S. 278 domaine public qui ne sont pas l'objet d'une estimation cadastrale. C'est là une manière de tenir compte du fait que l'évacuation des eaux, y compris leur épuration, accroît les possibilités d'utiliser le sol. Si les bases de calcul fixées s'adaptent plus ou moins exactement aux circonstances de chaque cas particulier, elles se justifient cependant par leur simplicité. En l'occurrence, des critères schématiques sont inévitables. Celui de la valeur d'assurance est d'ailleurs usuel pour les fonds bâtis (RO 93 I 114; arrêt du 1er mars 1967 dans la cause Wert-Invest-Immobilien AG c. Tecknau, Commune et Bâle-Campagne, Tribunal administratif, consid. 2 litt. a et b, inédit au RO mais publié dans les BJM 1967 p. 143 ss.). Le prélèvement de la contribution calculée sur la taxe cadastrale des terrains à bâtir correspond à l'avantage virtuel que le propriétaire tire de l'évacuation et de l'épuration des eaux. Quant aux terrains affectés à l'agriculture, on peut se demander s'ils ne devraient pas être exemptés dans le cas visé à l'art. 5 de la loi fédérale du 16 mars 1955 sur la protection des eaux contre la pollution. Mais il n'est pas nécessaire de résoudre la question, car les CFF ne peuvent évidemment pas être mis au bénéfice de cette disposition légale. b) En se fondant sur la consommation d'eau, l'art. 6 du règlement prend en considération le fait que l'évacuation et l'épuration des eaux aux frais de la collectivité publique dispensent les propriétaires de créer leurs propres installations, dont le coût dépend dans une certaine mesure du volume d'eau à éliminer. Sans doute la quantité d'eau consommée ne correspond-elle qu'approximativement à la masse d'eau évacuée. Il n'est toutefois pas contraire au principe de proportionnalité d'adopter comme facteur d'appréciation celle-là plutôt que celle-ci. Alors que la consommation d'eau est facilement déterminable, l'évacuation ne pourrait se mesurer qu'au moyen d'appareils dont la pose serait aussi compliquée qu'onéreuse et qui, apparemment, n'existent nulle part. C'est pourquoi on admet communément que la contribution aux frais d'épuration pourrait même être prélevée sous la forme d'un supplément au prix perçu pour la fourniture de l'eau (cf. D. SCHINDLER, Rechtsfragen des Gewässerschutzes in der Schweiz, RDS 1965 II 483). Au demeurant, la solution choisie par la Ville de Fribourg n'est pas plus préjudiciable aux CFF qu'à d'autres propriétaires. Si une partie de l'eau utilisée pour le nettoyage de la gare ou recueillie sur la parcelle 4039 s'évapore BGE 94 I 270 S. 279 ou est absorbée par le sol, il en est de même de l'eau de pluie qui tombe sur tous les terrains non bâtis, ou de l'eau dont le propriétaire se sert pour arroser son fonds. En outre, si l'eau qui remplit les réservoirs des wagons s'écoule en dehors du territoire de la Ville de Fribourg, il n'en est pas autrement de l'eau que certaines entreprises emploient à des fins industrielles.</w:t>
      </w:r>
    </w:p>
    <w:p>
      <w:r>
        <w:rPr>
          <w:b/>
        </w:rPr>
        <w:t>E. 6</w:t>
      </w:r>
    </w:p>
    <w:p>
      <w:r>
        <w:t>Ainsi, la contribution réclamée aux CFF remplit les trois conditions posées par la jurisprudence pour qu'une redevance constitue une charge de préférence et non un impôt. Il en résulte que l'art. 6 de la loi fédérale du 23 juin 1944 n'est pas applicable, et partant que l'action de droit administratif tendant à faire prononcer une exemption d'impôt en faveur des CFF est mal fondée. III. ... (Rejet du grief d'arbitraire)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